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60" w:rsidRPr="00EF2A77" w:rsidRDefault="00984432" w:rsidP="00826F60">
      <w:pPr>
        <w:pStyle w:val="Titre9"/>
        <w:spacing w:before="240"/>
        <w:jc w:val="center"/>
        <w:rPr>
          <w:rFonts w:ascii="Helvetica" w:hAnsi="Helvetica" w:cs="Helvetica"/>
          <w:b/>
          <w:bCs/>
          <w:i w:val="0"/>
          <w:iCs w:val="0"/>
          <w:color w:val="1C6CB6"/>
          <w:sz w:val="28"/>
          <w:szCs w:val="28"/>
          <w:lang w:eastAsia="fr-FR"/>
        </w:rPr>
      </w:pPr>
      <w:r w:rsidRPr="00EF2A77">
        <w:rPr>
          <w:rFonts w:ascii="Helvetica" w:hAnsi="Helvetica" w:cs="Helvetica"/>
          <w:b/>
          <w:bCs/>
          <w:i w:val="0"/>
          <w:iCs w:val="0"/>
          <w:color w:val="1C6CB6"/>
          <w:sz w:val="28"/>
          <w:szCs w:val="28"/>
          <w:lang w:eastAsia="fr-FR"/>
        </w:rPr>
        <w:t>AVIS D’APPEL D’OFFRES OUVERT</w:t>
      </w:r>
    </w:p>
    <w:p w:rsidR="002F0107" w:rsidRPr="00EF2A77" w:rsidRDefault="00A21802" w:rsidP="008A5A82">
      <w:pPr>
        <w:pStyle w:val="Titre9"/>
        <w:spacing w:before="240"/>
        <w:jc w:val="center"/>
        <w:rPr>
          <w:rFonts w:ascii="Helvetica" w:hAnsi="Helvetica" w:cs="Helvetica"/>
          <w:b/>
          <w:bCs/>
          <w:lang w:eastAsia="fr-FR"/>
        </w:rPr>
      </w:pPr>
      <w:r>
        <w:rPr>
          <w:rFonts w:ascii="Helvetica" w:hAnsi="Helvetica" w:cs="Helvetica"/>
          <w:b/>
          <w:bCs/>
          <w:sz w:val="24"/>
          <w:szCs w:val="24"/>
          <w:lang w:eastAsia="fr-FR"/>
        </w:rPr>
        <w:t xml:space="preserve">N° </w:t>
      </w:r>
      <w:r w:rsidR="00753014">
        <w:rPr>
          <w:rFonts w:ascii="Helvetica" w:hAnsi="Helvetica" w:cs="Helvetica"/>
          <w:b/>
          <w:bCs/>
          <w:sz w:val="24"/>
          <w:szCs w:val="24"/>
          <w:lang w:eastAsia="fr-FR"/>
        </w:rPr>
        <w:t>03</w:t>
      </w:r>
      <w:r w:rsidR="001E723B">
        <w:rPr>
          <w:rFonts w:ascii="Helvetica" w:hAnsi="Helvetica" w:cs="Helvetica"/>
          <w:b/>
          <w:bCs/>
          <w:sz w:val="24"/>
          <w:szCs w:val="24"/>
          <w:lang w:eastAsia="fr-FR"/>
        </w:rPr>
        <w:t>/201</w:t>
      </w:r>
      <w:r w:rsidR="00753014">
        <w:rPr>
          <w:rFonts w:ascii="Helvetica" w:hAnsi="Helvetica" w:cs="Helvetica"/>
          <w:b/>
          <w:bCs/>
          <w:sz w:val="24"/>
          <w:szCs w:val="24"/>
          <w:lang w:eastAsia="fr-FR"/>
        </w:rPr>
        <w:t>9</w:t>
      </w:r>
    </w:p>
    <w:p w:rsidR="00984432" w:rsidRPr="001F2A6B" w:rsidRDefault="00914279" w:rsidP="00A47C0D">
      <w:pPr>
        <w:spacing w:before="240" w:after="240"/>
        <w:jc w:val="center"/>
        <w:rPr>
          <w:rFonts w:ascii="Helvetica" w:hAnsi="Helvetica" w:cs="Helvetica"/>
          <w:b/>
          <w:bCs/>
          <w:lang w:eastAsia="fr-FR"/>
        </w:rPr>
      </w:pPr>
      <w:r w:rsidRPr="001F2A6B">
        <w:rPr>
          <w:rFonts w:ascii="Helvetica" w:hAnsi="Helvetica" w:cs="Helvetica"/>
          <w:b/>
          <w:bCs/>
          <w:u w:val="single"/>
          <w:lang w:eastAsia="fr-FR"/>
        </w:rPr>
        <w:t xml:space="preserve">SEANCE </w:t>
      </w:r>
      <w:r w:rsidRPr="001F2A6B">
        <w:rPr>
          <w:rFonts w:ascii="Helvetica" w:hAnsi="Helvetica" w:cs="Helvetica"/>
          <w:b/>
          <w:bCs/>
          <w:u w:val="single"/>
        </w:rPr>
        <w:t>PUBLIQUE</w:t>
      </w:r>
    </w:p>
    <w:p w:rsidR="003F7CE1" w:rsidRDefault="00753014" w:rsidP="007D69F9">
      <w:pPr>
        <w:jc w:val="both"/>
        <w:rPr>
          <w:rFonts w:ascii="Helvetica" w:eastAsia="BatangChe" w:hAnsi="Helvetica" w:cs="Helvetica"/>
          <w:lang w:eastAsia="fr-FR"/>
        </w:rPr>
      </w:pPr>
      <w:r w:rsidRPr="00A01ED9">
        <w:rPr>
          <w:rFonts w:ascii="Helvetica" w:eastAsia="BatangChe" w:hAnsi="Helvetica" w:cs="Helvetica"/>
          <w:sz w:val="24"/>
          <w:szCs w:val="24"/>
          <w:lang w:eastAsia="fr-FR"/>
        </w:rPr>
        <w:t>Le</w:t>
      </w:r>
      <w:r w:rsidRPr="00A01ED9"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 xml:space="preserve"> </w:t>
      </w:r>
      <w:r w:rsidR="007D69F9" w:rsidRPr="007D69F9"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 xml:space="preserve">vendredi </w:t>
      </w:r>
      <w:r w:rsidR="007D69F9"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>15</w:t>
      </w:r>
      <w:r w:rsidRPr="00A01ED9"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 xml:space="preserve"> </w:t>
      </w:r>
      <w:r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>mars</w:t>
      </w:r>
      <w:r w:rsidRPr="00A01ED9"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 xml:space="preserve"> </w:t>
      </w:r>
      <w:r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>2019</w:t>
      </w:r>
      <w:r w:rsidRPr="00A01ED9">
        <w:rPr>
          <w:rFonts w:ascii="Helvetica" w:eastAsia="BatangChe" w:hAnsi="Helvetica" w:cs="Helvetica"/>
          <w:b/>
          <w:bCs/>
          <w:sz w:val="24"/>
          <w:szCs w:val="24"/>
          <w:lang w:eastAsia="fr-FR"/>
        </w:rPr>
        <w:t xml:space="preserve"> </w:t>
      </w:r>
      <w:r w:rsidRPr="001F2A6B">
        <w:rPr>
          <w:rFonts w:ascii="Helvetica" w:eastAsia="BatangChe" w:hAnsi="Helvetica" w:cs="Helvetica"/>
          <w:b/>
          <w:bCs/>
          <w:lang w:eastAsia="fr-FR"/>
        </w:rPr>
        <w:t>à</w:t>
      </w:r>
      <w:r w:rsidR="00984432" w:rsidRPr="001F2A6B">
        <w:rPr>
          <w:rFonts w:ascii="Helvetica" w:eastAsia="BatangChe" w:hAnsi="Helvetica" w:cs="Helvetica"/>
          <w:b/>
          <w:bCs/>
          <w:lang w:eastAsia="fr-FR"/>
        </w:rPr>
        <w:t xml:space="preserve"> </w:t>
      </w:r>
      <w:r w:rsidR="009A5BA9" w:rsidRPr="001F2A6B">
        <w:rPr>
          <w:rFonts w:ascii="Helvetica" w:eastAsia="BatangChe" w:hAnsi="Helvetica" w:cs="Helvetica"/>
          <w:b/>
          <w:bCs/>
          <w:lang w:eastAsia="fr-FR"/>
        </w:rPr>
        <w:t>10</w:t>
      </w:r>
      <w:r w:rsidR="00463EA1" w:rsidRPr="001F2A6B">
        <w:rPr>
          <w:rFonts w:ascii="Helvetica" w:eastAsia="BatangChe" w:hAnsi="Helvetica" w:cs="Helvetica"/>
          <w:b/>
          <w:bCs/>
          <w:lang w:eastAsia="fr-FR"/>
        </w:rPr>
        <w:t xml:space="preserve"> </w:t>
      </w:r>
      <w:r w:rsidR="00984432" w:rsidRPr="001F2A6B">
        <w:rPr>
          <w:rFonts w:ascii="Helvetica" w:eastAsia="BatangChe" w:hAnsi="Helvetica" w:cs="Helvetica"/>
          <w:b/>
          <w:bCs/>
          <w:lang w:eastAsia="fr-FR"/>
        </w:rPr>
        <w:t>heures</w:t>
      </w:r>
      <w:r w:rsidR="00984432" w:rsidRPr="001F2A6B">
        <w:rPr>
          <w:rFonts w:ascii="Helvetica" w:eastAsia="BatangChe" w:hAnsi="Helvetica" w:cs="Helvetica"/>
          <w:lang w:eastAsia="fr-FR"/>
        </w:rPr>
        <w:t xml:space="preserve">, </w:t>
      </w:r>
      <w:r w:rsidR="003F7CE1" w:rsidRPr="003F7CE1">
        <w:rPr>
          <w:rFonts w:ascii="Helvetica" w:eastAsia="BatangChe" w:hAnsi="Helvetica" w:cs="Helvetica"/>
          <w:lang w:eastAsia="fr-FR"/>
        </w:rPr>
        <w:t xml:space="preserve">il sera procédé dans </w:t>
      </w:r>
      <w:r w:rsidR="00D24CF4" w:rsidRPr="00D24CF4">
        <w:rPr>
          <w:rFonts w:ascii="Helvetica" w:eastAsia="BatangChe" w:hAnsi="Helvetica" w:cs="Helvetica"/>
          <w:lang w:eastAsia="fr-FR"/>
        </w:rPr>
        <w:t xml:space="preserve">les locaux du siège de Casablanca Prestations sis au 105, Boulevard </w:t>
      </w:r>
      <w:proofErr w:type="spellStart"/>
      <w:r w:rsidR="00D24CF4" w:rsidRPr="00D24CF4">
        <w:rPr>
          <w:rFonts w:ascii="Helvetica" w:eastAsia="BatangChe" w:hAnsi="Helvetica" w:cs="Helvetica"/>
          <w:lang w:eastAsia="fr-FR"/>
        </w:rPr>
        <w:t>Abdelmoumen</w:t>
      </w:r>
      <w:proofErr w:type="spellEnd"/>
      <w:r w:rsidR="00D24CF4" w:rsidRPr="00D24CF4">
        <w:rPr>
          <w:rFonts w:ascii="Helvetica" w:eastAsia="BatangChe" w:hAnsi="Helvetica" w:cs="Helvetica"/>
          <w:lang w:eastAsia="fr-FR"/>
        </w:rPr>
        <w:t>, 20360 Casablanca,</w:t>
      </w:r>
      <w:r w:rsidR="00D24CF4" w:rsidRPr="003F7CE1">
        <w:rPr>
          <w:rFonts w:ascii="Helvetica" w:eastAsia="BatangChe" w:hAnsi="Helvetica" w:cs="Helvetica"/>
          <w:lang w:eastAsia="fr-FR"/>
        </w:rPr>
        <w:t xml:space="preserve"> </w:t>
      </w:r>
      <w:r w:rsidR="003F7CE1" w:rsidRPr="003F7CE1">
        <w:rPr>
          <w:rFonts w:ascii="Helvetica" w:eastAsia="BatangChe" w:hAnsi="Helvetica" w:cs="Helvetica"/>
          <w:lang w:eastAsia="fr-FR"/>
        </w:rPr>
        <w:t>à l’ouverture des plis relatifs à l’appel d’offres ouvert sur offre de prix ayant pour objet</w:t>
      </w:r>
      <w:r w:rsidR="0015489A" w:rsidRPr="003F7CE1">
        <w:rPr>
          <w:rFonts w:ascii="Helvetica" w:eastAsia="BatangChe" w:hAnsi="Helvetica" w:cs="Helvetica"/>
          <w:lang w:eastAsia="fr-FR"/>
        </w:rPr>
        <w:t xml:space="preserve"> : </w:t>
      </w:r>
      <w:r w:rsidR="00D12684">
        <w:rPr>
          <w:rFonts w:ascii="Helvetica" w:eastAsia="BatangChe" w:hAnsi="Helvetica" w:cs="Helvetica"/>
          <w:lang w:eastAsia="fr-FR"/>
        </w:rPr>
        <w:t>« </w:t>
      </w:r>
      <w:r w:rsidRPr="00753014">
        <w:rPr>
          <w:rFonts w:ascii="Helvetica" w:eastAsia="BatangChe" w:hAnsi="Helvetica" w:cs="Helvetica"/>
          <w:b/>
          <w:bCs/>
          <w:lang w:eastAsia="fr-FR"/>
        </w:rPr>
        <w:t>FOURNITURE D’HABILLEMENT POUR LES AGENTS DE LA POLICE ADMINISTRATIVE COMMUNALE DE CASABLANCA</w:t>
      </w:r>
      <w:r w:rsidR="00B5740C">
        <w:rPr>
          <w:rFonts w:ascii="Helvetica" w:eastAsia="BatangChe" w:hAnsi="Helvetica" w:cs="Helvetica"/>
          <w:lang w:eastAsia="fr-FR"/>
        </w:rPr>
        <w:t xml:space="preserve"> </w:t>
      </w:r>
      <w:r w:rsidR="00AD40AF">
        <w:rPr>
          <w:rFonts w:ascii="Helvetica" w:eastAsia="BatangChe" w:hAnsi="Helvetica" w:cs="Helvetica"/>
          <w:lang w:eastAsia="fr-FR"/>
        </w:rPr>
        <w:t>»</w:t>
      </w:r>
      <w:r w:rsidR="003F7CE1" w:rsidRPr="003F7CE1">
        <w:rPr>
          <w:rFonts w:ascii="Helvetica" w:eastAsia="BatangChe" w:hAnsi="Helvetica" w:cs="Helvetica"/>
          <w:lang w:eastAsia="fr-FR"/>
        </w:rPr>
        <w:t>.</w:t>
      </w:r>
    </w:p>
    <w:p w:rsidR="00984432" w:rsidRPr="00F23F2D" w:rsidRDefault="00984432" w:rsidP="00F23F2D">
      <w:pPr>
        <w:pStyle w:val="Titre8"/>
        <w:numPr>
          <w:ilvl w:val="0"/>
          <w:numId w:val="4"/>
        </w:numPr>
        <w:spacing w:before="240"/>
        <w:jc w:val="both"/>
        <w:rPr>
          <w:rStyle w:val="Lienhypertexte"/>
          <w:rFonts w:ascii="Helvetica" w:eastAsia="BatangChe" w:hAnsi="Helvetica" w:cs="Helvetica"/>
          <w:color w:val="auto"/>
          <w:sz w:val="22"/>
          <w:szCs w:val="22"/>
          <w:u w:val="none"/>
          <w:lang w:eastAsia="fr-FR"/>
        </w:rPr>
      </w:pPr>
      <w:r w:rsidRPr="001F2A6B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>Le dossier d’appel d’offres peut être retiré</w:t>
      </w:r>
      <w:r w:rsidR="001749E1" w:rsidRPr="001F2A6B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 gratuitement</w:t>
      </w:r>
      <w:r w:rsidRPr="001F2A6B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 </w:t>
      </w:r>
      <w:r w:rsidR="001749E1" w:rsidRPr="001F2A6B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au niveau </w:t>
      </w:r>
      <w:r w:rsidR="00F23F2D" w:rsidRPr="00F23F2D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>du siège de Casablanca</w:t>
      </w:r>
      <w:r w:rsidR="00F23F2D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 </w:t>
      </w:r>
      <w:r w:rsidR="00F23F2D" w:rsidRPr="00F23F2D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>Prestations</w:t>
      </w:r>
      <w:r w:rsidR="00D832D5" w:rsidRPr="00F23F2D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, au niveau du site Web : </w:t>
      </w:r>
      <w:hyperlink r:id="rId8" w:history="1">
        <w:r w:rsidR="008651B7" w:rsidRPr="00F23F2D">
          <w:rPr>
            <w:rStyle w:val="Lienhypertexte"/>
            <w:rFonts w:ascii="Helvetica" w:eastAsia="BatangChe" w:hAnsi="Helvetica" w:cs="Helvetica"/>
            <w:sz w:val="22"/>
            <w:szCs w:val="22"/>
            <w:lang w:eastAsia="fr-FR"/>
          </w:rPr>
          <w:t>http://www.casaprestations.ma</w:t>
        </w:r>
      </w:hyperlink>
      <w:r w:rsidR="00D832D5" w:rsidRPr="00F23F2D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 ou au niveau du portail des marchés publics</w:t>
      </w:r>
      <w:r w:rsidR="00E93116" w:rsidRPr="00F23F2D">
        <w:rPr>
          <w:rFonts w:ascii="Helvetica" w:eastAsia="BatangChe" w:hAnsi="Helvetica" w:cs="Helvetica"/>
          <w:color w:val="auto"/>
          <w:sz w:val="22"/>
          <w:szCs w:val="22"/>
          <w:lang w:eastAsia="fr-FR"/>
        </w:rPr>
        <w:t xml:space="preserve"> ;</w:t>
      </w:r>
      <w:r w:rsidR="003F7CE1" w:rsidRPr="003F7CE1">
        <w:t xml:space="preserve"> </w:t>
      </w:r>
    </w:p>
    <w:p w:rsidR="002676FE" w:rsidRPr="006026AD" w:rsidRDefault="00984432" w:rsidP="007D69F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49"/>
        <w:jc w:val="both"/>
        <w:rPr>
          <w:rFonts w:ascii="Helvetica" w:eastAsia="BatangChe" w:hAnsi="Helvetica" w:cs="Helvetica"/>
          <w:lang w:eastAsia="fr-FR"/>
        </w:rPr>
      </w:pPr>
      <w:r w:rsidRPr="001F2A6B">
        <w:rPr>
          <w:rFonts w:ascii="Helvetica" w:eastAsia="BatangChe" w:hAnsi="Helvetica" w:cs="Helvetica"/>
          <w:lang w:eastAsia="fr-FR"/>
        </w:rPr>
        <w:t xml:space="preserve">Le </w:t>
      </w:r>
      <w:r w:rsidR="00463EA1" w:rsidRPr="001F2A6B">
        <w:rPr>
          <w:rFonts w:ascii="Helvetica" w:eastAsia="BatangChe" w:hAnsi="Helvetica" w:cs="Helvetica"/>
          <w:lang w:eastAsia="fr-FR"/>
        </w:rPr>
        <w:t xml:space="preserve">montant du </w:t>
      </w:r>
      <w:r w:rsidRPr="001F2A6B">
        <w:rPr>
          <w:rFonts w:ascii="Helvetica" w:eastAsia="BatangChe" w:hAnsi="Helvetica" w:cs="Helvetica"/>
          <w:lang w:eastAsia="fr-FR"/>
        </w:rPr>
        <w:t>cautionnement provisoire est fixé à la somme </w:t>
      </w:r>
      <w:r w:rsidR="00463EA1" w:rsidRPr="001F2A6B">
        <w:rPr>
          <w:rFonts w:ascii="Helvetica" w:eastAsia="BatangChe" w:hAnsi="Helvetica" w:cs="Helvetica"/>
          <w:lang w:eastAsia="fr-FR"/>
        </w:rPr>
        <w:t>de</w:t>
      </w:r>
      <w:r w:rsidR="00D73A70" w:rsidRPr="001F2A6B">
        <w:rPr>
          <w:rFonts w:ascii="Helvetica" w:eastAsia="BatangChe" w:hAnsi="Helvetica" w:cs="Helvetica"/>
          <w:lang w:eastAsia="fr-FR"/>
        </w:rPr>
        <w:t xml:space="preserve"> : </w:t>
      </w:r>
      <w:r w:rsidR="007D69F9">
        <w:rPr>
          <w:rFonts w:ascii="Helvetica" w:eastAsia="BatangChe" w:hAnsi="Helvetica" w:cs="Helvetica"/>
          <w:b/>
          <w:lang w:eastAsia="fr-FR"/>
        </w:rPr>
        <w:t>11</w:t>
      </w:r>
      <w:r w:rsidR="00753014">
        <w:rPr>
          <w:rFonts w:ascii="Helvetica" w:eastAsia="BatangChe" w:hAnsi="Helvetica" w:cs="Helvetica"/>
          <w:b/>
          <w:lang w:eastAsia="fr-FR"/>
        </w:rPr>
        <w:t>.0</w:t>
      </w:r>
      <w:r w:rsidR="00753014" w:rsidRPr="00B5740C">
        <w:rPr>
          <w:rFonts w:ascii="Helvetica" w:eastAsia="BatangChe" w:hAnsi="Helvetica" w:cs="Helvetica"/>
          <w:b/>
          <w:lang w:eastAsia="fr-FR"/>
        </w:rPr>
        <w:t>00,00 DH</w:t>
      </w:r>
      <w:r w:rsidR="00753014">
        <w:rPr>
          <w:rFonts w:ascii="Helvetica" w:eastAsia="BatangChe" w:hAnsi="Helvetica" w:cs="Helvetica"/>
          <w:bCs/>
          <w:lang w:eastAsia="fr-FR"/>
        </w:rPr>
        <w:t xml:space="preserve"> (</w:t>
      </w:r>
      <w:r w:rsidR="007D69F9">
        <w:rPr>
          <w:rFonts w:ascii="Helvetica" w:eastAsia="BatangChe" w:hAnsi="Helvetica" w:cs="Helvetica"/>
          <w:bCs/>
          <w:lang w:eastAsia="fr-FR"/>
        </w:rPr>
        <w:t>onze</w:t>
      </w:r>
      <w:bookmarkStart w:id="0" w:name="_GoBack"/>
      <w:bookmarkEnd w:id="0"/>
      <w:r w:rsidR="00753014" w:rsidRPr="00B5740C">
        <w:rPr>
          <w:rFonts w:ascii="Helvetica" w:eastAsia="BatangChe" w:hAnsi="Helvetica" w:cs="Helvetica"/>
          <w:bCs/>
          <w:lang w:eastAsia="fr-FR"/>
        </w:rPr>
        <w:t xml:space="preserve"> mille </w:t>
      </w:r>
      <w:r w:rsidR="00753014">
        <w:rPr>
          <w:rFonts w:ascii="Helvetica" w:eastAsia="BatangChe" w:hAnsi="Helvetica" w:cs="Helvetica"/>
          <w:bCs/>
          <w:lang w:eastAsia="fr-FR"/>
        </w:rPr>
        <w:t>dirhams</w:t>
      </w:r>
      <w:r w:rsidR="002676FE" w:rsidRPr="00B5740C">
        <w:rPr>
          <w:rFonts w:ascii="Helvetica" w:eastAsia="BatangChe" w:hAnsi="Helvetica" w:cs="Helvetica"/>
          <w:bCs/>
          <w:lang w:eastAsia="fr-FR"/>
        </w:rPr>
        <w:t>)</w:t>
      </w:r>
    </w:p>
    <w:p w:rsidR="006026AD" w:rsidRPr="000E48D1" w:rsidRDefault="006026AD" w:rsidP="006026AD">
      <w:pPr>
        <w:autoSpaceDE w:val="0"/>
        <w:autoSpaceDN w:val="0"/>
        <w:adjustRightInd w:val="0"/>
        <w:spacing w:after="0"/>
        <w:ind w:left="720" w:right="-49"/>
        <w:jc w:val="both"/>
        <w:rPr>
          <w:rFonts w:ascii="Helvetica" w:eastAsia="BatangChe" w:hAnsi="Helvetica" w:cs="Helvetica"/>
          <w:rtl/>
          <w:lang w:val="en-US" w:eastAsia="fr-FR" w:bidi="ar-MA"/>
        </w:rPr>
      </w:pPr>
    </w:p>
    <w:p w:rsidR="002676FE" w:rsidRPr="00B5740C" w:rsidRDefault="00984432" w:rsidP="007D69F9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49"/>
        <w:jc w:val="both"/>
        <w:rPr>
          <w:rFonts w:ascii="Helvetica" w:eastAsia="BatangChe" w:hAnsi="Helvetica" w:cs="Helvetica"/>
          <w:lang w:eastAsia="fr-FR"/>
        </w:rPr>
      </w:pPr>
      <w:r w:rsidRPr="001F2A6B">
        <w:rPr>
          <w:rFonts w:ascii="Helvetica" w:eastAsia="BatangChe" w:hAnsi="Helvetica" w:cs="Helvetica"/>
          <w:lang w:eastAsia="fr-FR"/>
        </w:rPr>
        <w:t xml:space="preserve">L’estimation des coûts </w:t>
      </w:r>
      <w:r w:rsidR="002676FE" w:rsidRPr="001F2A6B">
        <w:rPr>
          <w:rFonts w:ascii="Helvetica" w:eastAsia="BatangChe" w:hAnsi="Helvetica" w:cs="Helvetica"/>
          <w:lang w:eastAsia="fr-FR"/>
        </w:rPr>
        <w:t>des prestations établies</w:t>
      </w:r>
      <w:r w:rsidR="00B95A17" w:rsidRPr="001F2A6B">
        <w:rPr>
          <w:rFonts w:ascii="Helvetica" w:eastAsia="BatangChe" w:hAnsi="Helvetica" w:cs="Helvetica"/>
          <w:lang w:eastAsia="fr-FR"/>
        </w:rPr>
        <w:t xml:space="preserve"> par le maî</w:t>
      </w:r>
      <w:r w:rsidRPr="001F2A6B">
        <w:rPr>
          <w:rFonts w:ascii="Helvetica" w:eastAsia="BatangChe" w:hAnsi="Helvetica" w:cs="Helvetica"/>
          <w:lang w:eastAsia="fr-FR"/>
        </w:rPr>
        <w:t>tre d’</w:t>
      </w:r>
      <w:r w:rsidR="00D70D24" w:rsidRPr="001F2A6B">
        <w:rPr>
          <w:rFonts w:ascii="Helvetica" w:eastAsia="BatangChe" w:hAnsi="Helvetica" w:cs="Helvetica"/>
          <w:lang w:eastAsia="fr-FR"/>
        </w:rPr>
        <w:t>ouvrage est fixée à la somme de</w:t>
      </w:r>
      <w:r w:rsidR="003440AA" w:rsidRPr="001F2A6B">
        <w:rPr>
          <w:rFonts w:ascii="Helvetica" w:eastAsia="BatangChe" w:hAnsi="Helvetica" w:cs="Helvetica"/>
          <w:lang w:eastAsia="fr-FR"/>
        </w:rPr>
        <w:t> :</w:t>
      </w:r>
      <w:r w:rsidR="006026AD">
        <w:rPr>
          <w:rFonts w:ascii="Helvetica" w:eastAsia="BatangChe" w:hAnsi="Helvetica" w:cs="Helvetica"/>
          <w:lang w:eastAsia="fr-FR"/>
        </w:rPr>
        <w:t xml:space="preserve">  </w:t>
      </w:r>
      <w:r w:rsidR="008A479E">
        <w:rPr>
          <w:rFonts w:ascii="Helvetica" w:eastAsia="BatangChe" w:hAnsi="Helvetica" w:cs="Helvetica"/>
          <w:b/>
          <w:bCs/>
          <w:lang w:eastAsia="fr-FR"/>
        </w:rPr>
        <w:t>5</w:t>
      </w:r>
      <w:r w:rsidR="007D69F9">
        <w:rPr>
          <w:rFonts w:ascii="Helvetica" w:eastAsia="BatangChe" w:hAnsi="Helvetica" w:cs="Helvetica"/>
          <w:b/>
          <w:bCs/>
          <w:lang w:eastAsia="fr-FR"/>
        </w:rPr>
        <w:t>38</w:t>
      </w:r>
      <w:r w:rsidR="00DB1489" w:rsidRPr="00B5740C">
        <w:rPr>
          <w:rFonts w:ascii="Helvetica" w:eastAsia="BatangChe" w:hAnsi="Helvetica" w:cs="Helvetica"/>
          <w:b/>
          <w:bCs/>
          <w:lang w:eastAsia="fr-FR"/>
        </w:rPr>
        <w:t>.0</w:t>
      </w:r>
      <w:r w:rsidR="00DA0231" w:rsidRPr="00B5740C">
        <w:rPr>
          <w:rFonts w:ascii="Helvetica" w:eastAsia="BatangChe" w:hAnsi="Helvetica" w:cs="Helvetica"/>
          <w:b/>
          <w:bCs/>
          <w:lang w:eastAsia="fr-FR"/>
        </w:rPr>
        <w:t>00,00</w:t>
      </w:r>
      <w:r w:rsidR="00DA0231" w:rsidRPr="00B5740C">
        <w:rPr>
          <w:rFonts w:ascii="Helvetica" w:eastAsia="BatangChe" w:hAnsi="Helvetica" w:cs="Helvetica"/>
          <w:lang w:eastAsia="fr-FR"/>
        </w:rPr>
        <w:t xml:space="preserve"> </w:t>
      </w:r>
      <w:r w:rsidR="00DA0231" w:rsidRPr="00B5740C">
        <w:rPr>
          <w:rFonts w:ascii="Helvetica" w:eastAsia="BatangChe" w:hAnsi="Helvetica" w:cs="Helvetica"/>
          <w:b/>
          <w:bCs/>
          <w:lang w:eastAsia="fr-FR"/>
        </w:rPr>
        <w:t>DH</w:t>
      </w:r>
      <w:r w:rsidR="00DA0231" w:rsidRPr="00B5740C">
        <w:rPr>
          <w:rFonts w:ascii="Helvetica" w:eastAsia="BatangChe" w:hAnsi="Helvetica" w:cs="Helvetica"/>
          <w:lang w:eastAsia="fr-FR"/>
        </w:rPr>
        <w:t xml:space="preserve"> (</w:t>
      </w:r>
      <w:r w:rsidR="008A479E">
        <w:rPr>
          <w:rFonts w:ascii="Helvetica" w:eastAsia="BatangChe" w:hAnsi="Helvetica" w:cs="Helvetica"/>
          <w:lang w:eastAsia="fr-FR"/>
        </w:rPr>
        <w:t xml:space="preserve">cinq cent </w:t>
      </w:r>
      <w:r w:rsidR="007D69F9">
        <w:rPr>
          <w:rFonts w:ascii="Helvetica" w:eastAsia="BatangChe" w:hAnsi="Helvetica" w:cs="Helvetica"/>
          <w:lang w:eastAsia="fr-FR"/>
        </w:rPr>
        <w:t>trente-huit</w:t>
      </w:r>
      <w:r w:rsidR="00DB1489" w:rsidRPr="00B5740C">
        <w:rPr>
          <w:rFonts w:ascii="Helvetica" w:eastAsia="BatangChe" w:hAnsi="Helvetica" w:cs="Helvetica"/>
          <w:lang w:eastAsia="fr-FR"/>
        </w:rPr>
        <w:t xml:space="preserve"> mille</w:t>
      </w:r>
      <w:r w:rsidR="00DA0231" w:rsidRPr="00B5740C">
        <w:rPr>
          <w:rFonts w:ascii="Helvetica" w:eastAsia="BatangChe" w:hAnsi="Helvetica" w:cs="Helvetica"/>
          <w:lang w:eastAsia="fr-FR"/>
        </w:rPr>
        <w:t xml:space="preserve"> dirhams) toutes taxes comprises; </w:t>
      </w:r>
    </w:p>
    <w:p w:rsidR="00B5740C" w:rsidRPr="00B5740C" w:rsidRDefault="00B5740C" w:rsidP="00B5740C">
      <w:pPr>
        <w:spacing w:after="0"/>
        <w:ind w:left="1080"/>
        <w:jc w:val="both"/>
        <w:rPr>
          <w:rFonts w:ascii="Helvetica" w:eastAsia="BatangChe" w:hAnsi="Helvetica" w:cs="Helvetica"/>
          <w:lang w:eastAsia="fr-FR"/>
        </w:rPr>
      </w:pPr>
    </w:p>
    <w:p w:rsidR="00984432" w:rsidRPr="001F2A6B" w:rsidRDefault="00984432" w:rsidP="008651B7">
      <w:pPr>
        <w:pStyle w:val="Paragraphedeliste"/>
        <w:numPr>
          <w:ilvl w:val="0"/>
          <w:numId w:val="4"/>
        </w:numPr>
        <w:spacing w:after="0"/>
        <w:jc w:val="both"/>
        <w:rPr>
          <w:rFonts w:ascii="Helvetica" w:eastAsia="BatangChe" w:hAnsi="Helvetica" w:cs="Helvetica"/>
          <w:lang w:eastAsia="fr-FR"/>
        </w:rPr>
      </w:pPr>
      <w:r w:rsidRPr="001F2A6B">
        <w:rPr>
          <w:rFonts w:ascii="Helvetica" w:eastAsia="BatangChe" w:hAnsi="Helvetica" w:cs="Helvetica"/>
          <w:lang w:eastAsia="fr-FR"/>
        </w:rPr>
        <w:t>Le contenu, la présentation ainsi que le dépôt des dossiers des concurrents doivent être conformes aux dispositions des articles</w:t>
      </w:r>
      <w:r w:rsidR="003440AA" w:rsidRPr="001F2A6B">
        <w:rPr>
          <w:rFonts w:ascii="Helvetica" w:eastAsia="BatangChe" w:hAnsi="Helvetica" w:cs="Helvetica"/>
          <w:lang w:eastAsia="fr-FR"/>
        </w:rPr>
        <w:t xml:space="preserve"> 29, 30 et 32 du</w:t>
      </w:r>
      <w:r w:rsidR="00B95A17" w:rsidRPr="001F2A6B">
        <w:rPr>
          <w:rFonts w:ascii="Helvetica" w:eastAsia="BatangChe" w:hAnsi="Helvetica" w:cs="Helvetica"/>
          <w:lang w:eastAsia="fr-FR"/>
        </w:rPr>
        <w:t xml:space="preserve"> r</w:t>
      </w:r>
      <w:r w:rsidR="00535760" w:rsidRPr="001F2A6B">
        <w:rPr>
          <w:rFonts w:ascii="Helvetica" w:eastAsia="BatangChe" w:hAnsi="Helvetica" w:cs="Helvetica"/>
          <w:lang w:eastAsia="fr-FR"/>
        </w:rPr>
        <w:t>èglement de</w:t>
      </w:r>
      <w:r w:rsidR="00683C82" w:rsidRPr="001F2A6B">
        <w:rPr>
          <w:rFonts w:ascii="Helvetica" w:eastAsia="BatangChe" w:hAnsi="Helvetica" w:cs="Helvetica"/>
          <w:lang w:eastAsia="fr-FR"/>
        </w:rPr>
        <w:t>s</w:t>
      </w:r>
      <w:r w:rsidR="00535760" w:rsidRPr="001F2A6B">
        <w:rPr>
          <w:rFonts w:ascii="Helvetica" w:eastAsia="BatangChe" w:hAnsi="Helvetica" w:cs="Helvetica"/>
          <w:lang w:eastAsia="fr-FR"/>
        </w:rPr>
        <w:t xml:space="preserve"> </w:t>
      </w:r>
      <w:r w:rsidR="00B95A17" w:rsidRPr="001F2A6B">
        <w:rPr>
          <w:rFonts w:ascii="Helvetica" w:eastAsia="BatangChe" w:hAnsi="Helvetica" w:cs="Helvetica"/>
          <w:lang w:eastAsia="fr-FR"/>
        </w:rPr>
        <w:t>m</w:t>
      </w:r>
      <w:r w:rsidR="00535760" w:rsidRPr="001F2A6B">
        <w:rPr>
          <w:rFonts w:ascii="Helvetica" w:eastAsia="BatangChe" w:hAnsi="Helvetica" w:cs="Helvetica"/>
          <w:lang w:eastAsia="fr-FR"/>
        </w:rPr>
        <w:t>arché</w:t>
      </w:r>
      <w:r w:rsidR="00683C82" w:rsidRPr="001F2A6B">
        <w:rPr>
          <w:rFonts w:ascii="Helvetica" w:eastAsia="BatangChe" w:hAnsi="Helvetica" w:cs="Helvetica"/>
          <w:lang w:eastAsia="fr-FR"/>
        </w:rPr>
        <w:t>s</w:t>
      </w:r>
      <w:r w:rsidR="00535760" w:rsidRPr="001F2A6B">
        <w:rPr>
          <w:rFonts w:ascii="Helvetica" w:eastAsia="BatangChe" w:hAnsi="Helvetica" w:cs="Helvetica"/>
          <w:lang w:eastAsia="fr-FR"/>
        </w:rPr>
        <w:t xml:space="preserve"> de</w:t>
      </w:r>
      <w:r w:rsidR="00683C82" w:rsidRPr="001F2A6B">
        <w:rPr>
          <w:rFonts w:ascii="Helvetica" w:eastAsia="BatangChe" w:hAnsi="Helvetica" w:cs="Helvetica"/>
          <w:lang w:eastAsia="fr-FR"/>
        </w:rPr>
        <w:t xml:space="preserve"> Casablanca</w:t>
      </w:r>
      <w:r w:rsidR="00B95A17" w:rsidRPr="001F2A6B">
        <w:rPr>
          <w:rFonts w:ascii="Helvetica" w:eastAsia="BatangChe" w:hAnsi="Helvetica" w:cs="Helvetica"/>
          <w:lang w:eastAsia="fr-FR"/>
        </w:rPr>
        <w:t xml:space="preserve"> Prestations</w:t>
      </w:r>
      <w:r w:rsidR="0002232B" w:rsidRPr="001F2A6B">
        <w:rPr>
          <w:rFonts w:ascii="Helvetica" w:eastAsia="BatangChe" w:hAnsi="Helvetica" w:cs="Helvetica"/>
          <w:lang w:eastAsia="fr-FR"/>
        </w:rPr>
        <w:t xml:space="preserve"> (</w:t>
      </w:r>
      <w:hyperlink r:id="rId9" w:history="1">
        <w:r w:rsidR="008651B7" w:rsidRPr="001F2A6B">
          <w:rPr>
            <w:rStyle w:val="Lienhypertexte"/>
            <w:rFonts w:ascii="Helvetica" w:eastAsia="BatangChe" w:hAnsi="Helvetica" w:cs="Helvetica"/>
            <w:lang w:eastAsia="fr-FR"/>
          </w:rPr>
          <w:t>http://www.casaprestations.ma/fr/reglement-des-marches/</w:t>
        </w:r>
      </w:hyperlink>
      <w:r w:rsidR="0002232B" w:rsidRPr="001F2A6B">
        <w:rPr>
          <w:rFonts w:ascii="Helvetica" w:eastAsia="BatangChe" w:hAnsi="Helvetica" w:cs="Helvetica"/>
          <w:lang w:eastAsia="fr-FR"/>
        </w:rPr>
        <w:t>)</w:t>
      </w:r>
      <w:r w:rsidR="00B95A17" w:rsidRPr="001F2A6B">
        <w:rPr>
          <w:rFonts w:ascii="Helvetica" w:eastAsia="BatangChe" w:hAnsi="Helvetica" w:cs="Helvetica"/>
          <w:lang w:eastAsia="fr-FR"/>
        </w:rPr>
        <w:t> ;</w:t>
      </w:r>
    </w:p>
    <w:p w:rsidR="00984432" w:rsidRPr="001F2A6B" w:rsidRDefault="00984432" w:rsidP="00B63D2A">
      <w:pPr>
        <w:pStyle w:val="Corpsdetexte2"/>
        <w:numPr>
          <w:ilvl w:val="0"/>
          <w:numId w:val="4"/>
        </w:numPr>
        <w:spacing w:after="0" w:line="276" w:lineRule="auto"/>
        <w:ind w:left="714" w:right="-142" w:hanging="357"/>
        <w:jc w:val="both"/>
        <w:rPr>
          <w:rFonts w:ascii="Helvetica" w:eastAsia="BatangChe" w:hAnsi="Helvetica" w:cs="Helvetica"/>
          <w:lang w:eastAsia="fr-FR"/>
        </w:rPr>
      </w:pPr>
      <w:r w:rsidRPr="001F2A6B">
        <w:rPr>
          <w:rFonts w:ascii="Helvetica" w:eastAsia="BatangChe" w:hAnsi="Helvetica" w:cs="Helvetica"/>
          <w:lang w:eastAsia="fr-FR"/>
        </w:rPr>
        <w:t>Les concurrents peuvent :</w:t>
      </w:r>
    </w:p>
    <w:p w:rsidR="008724C2" w:rsidRPr="008724C2" w:rsidRDefault="008724C2" w:rsidP="00D75B9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5"/>
        <w:ind w:left="1418" w:right="-143" w:hanging="425"/>
        <w:jc w:val="both"/>
        <w:rPr>
          <w:rFonts w:ascii="Helvetica" w:eastAsiaTheme="minorHAnsi" w:hAnsi="Helvetica" w:cs="Helvetica"/>
        </w:rPr>
      </w:pPr>
      <w:r w:rsidRPr="008724C2">
        <w:rPr>
          <w:rFonts w:ascii="Helvetica" w:eastAsiaTheme="minorHAnsi" w:hAnsi="Helvetica" w:cs="Helvetica"/>
        </w:rPr>
        <w:t xml:space="preserve">Soit déposer contre récépissé, leurs plis </w:t>
      </w:r>
      <w:r w:rsidR="00D75B91" w:rsidRPr="00D75B91">
        <w:rPr>
          <w:rFonts w:ascii="Helvetica" w:eastAsiaTheme="minorHAnsi" w:hAnsi="Helvetica" w:cs="Helvetica"/>
        </w:rPr>
        <w:t xml:space="preserve">à l’adresse du siège de Casablanca Prestations sis au 105, Boulevard </w:t>
      </w:r>
      <w:proofErr w:type="spellStart"/>
      <w:r w:rsidR="00D75B91" w:rsidRPr="00D75B91">
        <w:rPr>
          <w:rFonts w:ascii="Helvetica" w:eastAsiaTheme="minorHAnsi" w:hAnsi="Helvetica" w:cs="Helvetica"/>
        </w:rPr>
        <w:t>Abdelmoumen</w:t>
      </w:r>
      <w:proofErr w:type="spellEnd"/>
      <w:r w:rsidR="00D75B91" w:rsidRPr="00D75B91">
        <w:rPr>
          <w:rFonts w:ascii="Helvetica" w:eastAsiaTheme="minorHAnsi" w:hAnsi="Helvetica" w:cs="Helvetica"/>
        </w:rPr>
        <w:t>, 20360 Casablanca</w:t>
      </w:r>
      <w:r w:rsidR="00D75B91" w:rsidRPr="008724C2">
        <w:rPr>
          <w:rFonts w:ascii="Helvetica" w:eastAsiaTheme="minorHAnsi" w:hAnsi="Helvetica" w:cs="Helvetica"/>
        </w:rPr>
        <w:t xml:space="preserve"> »</w:t>
      </w:r>
      <w:r w:rsidRPr="008724C2">
        <w:rPr>
          <w:rFonts w:ascii="Helvetica" w:eastAsiaTheme="minorHAnsi" w:hAnsi="Helvetica" w:cs="Helvetica"/>
        </w:rPr>
        <w:t>.</w:t>
      </w:r>
    </w:p>
    <w:p w:rsidR="008724C2" w:rsidRPr="008724C2" w:rsidRDefault="008724C2" w:rsidP="008724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5"/>
        <w:ind w:left="1418" w:right="-143" w:hanging="425"/>
        <w:jc w:val="both"/>
        <w:rPr>
          <w:rFonts w:ascii="Avenir Book" w:hAnsi="Avenir Book"/>
          <w:sz w:val="20"/>
          <w:szCs w:val="20"/>
        </w:rPr>
      </w:pPr>
      <w:r w:rsidRPr="008724C2">
        <w:rPr>
          <w:rFonts w:ascii="Helvetica" w:eastAsiaTheme="minorHAnsi" w:hAnsi="Helvetica" w:cs="Helvetica"/>
        </w:rPr>
        <w:t>Soit les envoyer par courrier recommandé avec accusé de réception à l’Unité précitée ;</w:t>
      </w:r>
    </w:p>
    <w:p w:rsidR="008724C2" w:rsidRPr="008724C2" w:rsidRDefault="008724C2" w:rsidP="008724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5"/>
        <w:ind w:left="1418" w:right="-143" w:hanging="425"/>
        <w:jc w:val="both"/>
        <w:rPr>
          <w:rFonts w:ascii="Helvetica" w:eastAsiaTheme="minorHAnsi" w:hAnsi="Helvetica" w:cs="Helvetica"/>
        </w:rPr>
      </w:pPr>
      <w:r w:rsidRPr="008724C2">
        <w:rPr>
          <w:rFonts w:ascii="Helvetica" w:eastAsiaTheme="minorHAnsi" w:hAnsi="Helvetica" w:cs="Helvetica"/>
        </w:rPr>
        <w:t>Soit les remettre au Président de la Commission d’ouverture des plis au début de la séance et avant l’ouverture des plis.</w:t>
      </w:r>
    </w:p>
    <w:p w:rsidR="008724C2" w:rsidRPr="008724C2" w:rsidRDefault="00535760" w:rsidP="00D75B9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709" w:right="-142" w:hanging="284"/>
        <w:jc w:val="both"/>
        <w:rPr>
          <w:rFonts w:ascii="Helvetica" w:eastAsia="BatangChe" w:hAnsi="Helvetica" w:cs="Helvetica"/>
          <w:b/>
          <w:bCs/>
          <w:lang w:eastAsia="fr-FR"/>
        </w:rPr>
      </w:pPr>
      <w:r w:rsidRPr="001F2A6B">
        <w:rPr>
          <w:rFonts w:ascii="Helvetica" w:eastAsia="BatangChe" w:hAnsi="Helvetica" w:cs="Helvetica"/>
          <w:lang w:eastAsia="fr-FR"/>
        </w:rPr>
        <w:t>Le dossier</w:t>
      </w:r>
      <w:r w:rsidR="00984432" w:rsidRPr="001F2A6B">
        <w:rPr>
          <w:rFonts w:ascii="Helvetica" w:eastAsia="BatangChe" w:hAnsi="Helvetica" w:cs="Helvetica"/>
          <w:lang w:eastAsia="fr-FR"/>
        </w:rPr>
        <w:t xml:space="preserve"> à fournir</w:t>
      </w:r>
      <w:r w:rsidRPr="001F2A6B">
        <w:rPr>
          <w:rFonts w:ascii="Helvetica" w:eastAsia="BatangChe" w:hAnsi="Helvetica" w:cs="Helvetica"/>
          <w:lang w:eastAsia="fr-FR"/>
        </w:rPr>
        <w:t xml:space="preserve"> </w:t>
      </w:r>
      <w:r w:rsidR="00A20743" w:rsidRPr="001F2A6B">
        <w:rPr>
          <w:rFonts w:ascii="Helvetica" w:eastAsia="BatangChe" w:hAnsi="Helvetica" w:cs="Helvetica"/>
          <w:lang w:eastAsia="fr-FR"/>
        </w:rPr>
        <w:t xml:space="preserve">par les concurrents </w:t>
      </w:r>
      <w:r w:rsidRPr="001F2A6B">
        <w:rPr>
          <w:rFonts w:ascii="Helvetica" w:eastAsia="BatangChe" w:hAnsi="Helvetica" w:cs="Helvetica"/>
          <w:lang w:eastAsia="fr-FR"/>
        </w:rPr>
        <w:t xml:space="preserve">doit être constitué </w:t>
      </w:r>
      <w:r w:rsidR="00A20743" w:rsidRPr="001F2A6B">
        <w:rPr>
          <w:rFonts w:ascii="Helvetica" w:eastAsia="BatangChe" w:hAnsi="Helvetica" w:cs="Helvetica"/>
          <w:lang w:eastAsia="fr-FR"/>
        </w:rPr>
        <w:t xml:space="preserve">conformément </w:t>
      </w:r>
      <w:r w:rsidR="00D75B91">
        <w:rPr>
          <w:rFonts w:ascii="Helvetica" w:eastAsia="BatangChe" w:hAnsi="Helvetica" w:cs="Helvetica"/>
          <w:lang w:eastAsia="fr-FR"/>
        </w:rPr>
        <w:t xml:space="preserve">au </w:t>
      </w:r>
      <w:r w:rsidR="00D75B91" w:rsidRPr="001F2A6B">
        <w:rPr>
          <w:rFonts w:ascii="Helvetica" w:eastAsia="BatangChe" w:hAnsi="Helvetica" w:cs="Helvetica"/>
          <w:lang w:eastAsia="fr-FR"/>
        </w:rPr>
        <w:t>règlement</w:t>
      </w:r>
      <w:r w:rsidR="00A20743" w:rsidRPr="001F2A6B">
        <w:rPr>
          <w:rFonts w:ascii="Helvetica" w:eastAsia="BatangChe" w:hAnsi="Helvetica" w:cs="Helvetica"/>
          <w:lang w:eastAsia="fr-FR"/>
        </w:rPr>
        <w:t xml:space="preserve"> de consultation</w:t>
      </w:r>
      <w:r w:rsidR="00683C82" w:rsidRPr="001F2A6B">
        <w:rPr>
          <w:rFonts w:ascii="Helvetica" w:eastAsia="BatangChe" w:hAnsi="Helvetica" w:cs="Helvetica"/>
          <w:lang w:eastAsia="fr-FR"/>
        </w:rPr>
        <w:t>.</w:t>
      </w:r>
    </w:p>
    <w:p w:rsidR="008724C2" w:rsidRPr="008724C2" w:rsidRDefault="008724C2" w:rsidP="008724C2">
      <w:pPr>
        <w:autoSpaceDE w:val="0"/>
        <w:autoSpaceDN w:val="0"/>
        <w:adjustRightInd w:val="0"/>
        <w:spacing w:after="0"/>
        <w:ind w:right="-142"/>
        <w:jc w:val="both"/>
        <w:rPr>
          <w:rFonts w:ascii="Helvetica" w:eastAsia="BatangChe" w:hAnsi="Helvetica" w:cs="Helvetica"/>
          <w:b/>
          <w:bCs/>
          <w:lang w:eastAsia="fr-FR"/>
        </w:rPr>
      </w:pPr>
    </w:p>
    <w:sectPr w:rsidR="008724C2" w:rsidRPr="008724C2" w:rsidSect="001F2A6B">
      <w:headerReference w:type="default" r:id="rId10"/>
      <w:footerReference w:type="default" r:id="rId11"/>
      <w:pgSz w:w="11900" w:h="16840"/>
      <w:pgMar w:top="367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EF" w:rsidRDefault="005D7CEF" w:rsidP="005D5DCA">
      <w:pPr>
        <w:spacing w:after="0" w:line="240" w:lineRule="auto"/>
      </w:pPr>
      <w:r>
        <w:separator/>
      </w:r>
    </w:p>
  </w:endnote>
  <w:endnote w:type="continuationSeparator" w:id="0">
    <w:p w:rsidR="005D7CEF" w:rsidRDefault="005D7CEF" w:rsidP="005D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31" w:rsidRDefault="005D7CEF">
    <w:pPr>
      <w:pStyle w:val="Pieddepage"/>
    </w:pPr>
    <w:r>
      <w:pict>
        <v:rect id="_x0000_i1026" style="width:0;height:1.5pt" o:hralign="center" o:hrstd="t" o:hr="t" fillcolor="#aca899" stroked="f"/>
      </w:pict>
    </w:r>
  </w:p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5230"/>
      <w:gridCol w:w="5230"/>
    </w:tblGrid>
    <w:tr w:rsidR="00DA0231" w:rsidRPr="001F024E" w:rsidTr="00DA0231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DA0231" w:rsidRPr="001F024E" w:rsidRDefault="00DA0231" w:rsidP="00DA0231">
          <w:pPr>
            <w:pStyle w:val="Pieddepage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Casablanca Prestations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 S.A au capital de 12.000.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000,00 DH</w:t>
          </w:r>
        </w:p>
        <w:p w:rsidR="00DA0231" w:rsidRPr="001F024E" w:rsidRDefault="00DA0231" w:rsidP="009F0C6E">
          <w:pPr>
            <w:pStyle w:val="Pieddepage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105, Bd Abdelmoumen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 - 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20360 Casablanca</w:t>
          </w:r>
        </w:p>
        <w:p w:rsidR="00DA0231" w:rsidRPr="001F024E" w:rsidRDefault="00DA0231" w:rsidP="009F0C6E">
          <w:pPr>
            <w:pStyle w:val="Pieddepage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Tél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. : +212 522 22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1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 2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08 / Fax : 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+212 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522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 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472</w:t>
          </w:r>
          <w:r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 </w:t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>687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DA0231" w:rsidRDefault="00DA0231" w:rsidP="00DA0231">
          <w:pPr>
            <w:pStyle w:val="Pieddepage"/>
            <w:jc w:val="right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</w:p>
        <w:p w:rsidR="00DA0231" w:rsidRDefault="00DA0231" w:rsidP="00DA0231">
          <w:pPr>
            <w:pStyle w:val="Pieddepage"/>
            <w:jc w:val="right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</w:p>
        <w:p w:rsidR="00DA0231" w:rsidRDefault="00DA0231" w:rsidP="00DA0231">
          <w:pPr>
            <w:pStyle w:val="Pieddepage"/>
            <w:jc w:val="right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</w:p>
        <w:p w:rsidR="00DA0231" w:rsidRPr="001F024E" w:rsidRDefault="00DA0231" w:rsidP="00DA0231">
          <w:pPr>
            <w:pStyle w:val="Pieddepage"/>
            <w:jc w:val="right"/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</w:pP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Page </w:t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fldChar w:fldCharType="begin"/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instrText>PAGE</w:instrText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fldChar w:fldCharType="separate"/>
          </w:r>
          <w:r w:rsidR="007D69F9">
            <w:rPr>
              <w:rFonts w:ascii="Helvetica" w:hAnsi="Helvetica" w:cs="Helvetica"/>
              <w:b/>
              <w:noProof/>
              <w:color w:val="BFBFBF" w:themeColor="background1" w:themeShade="BF"/>
              <w:sz w:val="16"/>
              <w:szCs w:val="16"/>
            </w:rPr>
            <w:t>1</w:t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fldChar w:fldCharType="end"/>
          </w:r>
          <w:r w:rsidRPr="001F024E">
            <w:rPr>
              <w:rFonts w:ascii="Helvetica" w:hAnsi="Helvetica" w:cs="Helvetica"/>
              <w:color w:val="BFBFBF" w:themeColor="background1" w:themeShade="BF"/>
              <w:sz w:val="16"/>
              <w:szCs w:val="16"/>
            </w:rPr>
            <w:t xml:space="preserve"> sur </w:t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fldChar w:fldCharType="begin"/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instrText>NUMPAGES</w:instrText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fldChar w:fldCharType="separate"/>
          </w:r>
          <w:r w:rsidR="007D69F9">
            <w:rPr>
              <w:rFonts w:ascii="Helvetica" w:hAnsi="Helvetica" w:cs="Helvetica"/>
              <w:b/>
              <w:noProof/>
              <w:color w:val="BFBFBF" w:themeColor="background1" w:themeShade="BF"/>
              <w:sz w:val="16"/>
              <w:szCs w:val="16"/>
            </w:rPr>
            <w:t>1</w:t>
          </w:r>
          <w:r w:rsidRPr="001F024E">
            <w:rPr>
              <w:rFonts w:ascii="Helvetica" w:hAnsi="Helvetica" w:cs="Helvetica"/>
              <w:b/>
              <w:color w:val="BFBFBF" w:themeColor="background1" w:themeShade="BF"/>
              <w:sz w:val="16"/>
              <w:szCs w:val="16"/>
            </w:rPr>
            <w:fldChar w:fldCharType="end"/>
          </w:r>
        </w:p>
      </w:tc>
    </w:tr>
  </w:tbl>
  <w:p w:rsidR="00DA0231" w:rsidRPr="005D5DCA" w:rsidRDefault="00DA0231" w:rsidP="005D5DC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EF" w:rsidRDefault="005D7CEF" w:rsidP="005D5DCA">
      <w:pPr>
        <w:spacing w:after="0" w:line="240" w:lineRule="auto"/>
      </w:pPr>
      <w:r>
        <w:separator/>
      </w:r>
    </w:p>
  </w:footnote>
  <w:footnote w:type="continuationSeparator" w:id="0">
    <w:p w:rsidR="005D7CEF" w:rsidRDefault="005D7CEF" w:rsidP="005D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9"/>
      <w:gridCol w:w="3615"/>
      <w:gridCol w:w="3266"/>
    </w:tblGrid>
    <w:tr w:rsidR="00DA0231" w:rsidTr="009F0C6E">
      <w:trPr>
        <w:trHeight w:val="1128"/>
      </w:trPr>
      <w:tc>
        <w:tcPr>
          <w:tcW w:w="1711" w:type="pct"/>
          <w:vAlign w:val="bottom"/>
        </w:tcPr>
        <w:p w:rsidR="00DA0231" w:rsidRDefault="00DA0231" w:rsidP="009F0C6E">
          <w:pPr>
            <w:rPr>
              <w:rFonts w:ascii="Helvetica" w:hAnsi="Helvetica" w:cs="Helvetica"/>
              <w:b/>
              <w:sz w:val="28"/>
            </w:rPr>
          </w:pPr>
          <w:r>
            <w:rPr>
              <w:rFonts w:ascii="Helvetica" w:hAnsi="Helvetica" w:cs="Helvetica"/>
              <w:b/>
              <w:noProof/>
              <w:sz w:val="28"/>
              <w:lang w:val="en-US"/>
            </w:rPr>
            <w:drawing>
              <wp:inline distT="0" distB="0" distL="0" distR="0">
                <wp:extent cx="1246049" cy="586740"/>
                <wp:effectExtent l="0" t="0" r="0" b="381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SA PRESTATIONS_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334" cy="58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" w:type="pct"/>
          <w:vAlign w:val="center"/>
        </w:tcPr>
        <w:p w:rsidR="00DA0231" w:rsidRDefault="00DA0231" w:rsidP="00DA0231">
          <w:pPr>
            <w:jc w:val="center"/>
            <w:rPr>
              <w:rFonts w:ascii="Helvetica" w:hAnsi="Helvetica" w:cs="Helvetica"/>
              <w:b/>
              <w:noProof/>
              <w:color w:val="BFBFBF" w:themeColor="background1" w:themeShade="BF"/>
              <w:sz w:val="16"/>
              <w:szCs w:val="16"/>
            </w:rPr>
          </w:pPr>
        </w:p>
        <w:p w:rsidR="00DA0231" w:rsidRPr="00DE042D" w:rsidRDefault="00DA0231" w:rsidP="00DE042D">
          <w:pPr>
            <w:spacing w:after="0"/>
            <w:jc w:val="center"/>
            <w:rPr>
              <w:rFonts w:ascii="Helvetica" w:hAnsi="Helvetica" w:cs="Helvetica"/>
              <w:b/>
              <w:noProof/>
              <w:color w:val="BFBFBF" w:themeColor="background1" w:themeShade="BF"/>
              <w:sz w:val="20"/>
              <w:szCs w:val="20"/>
              <w:rtl/>
              <w:lang w:bidi="ar-MA"/>
            </w:rPr>
          </w:pPr>
        </w:p>
      </w:tc>
      <w:tc>
        <w:tcPr>
          <w:tcW w:w="1561" w:type="pct"/>
          <w:vAlign w:val="center"/>
        </w:tcPr>
        <w:p w:rsidR="00DA0231" w:rsidRPr="005D5DCA" w:rsidRDefault="00DA0231" w:rsidP="00DA0231">
          <w:pPr>
            <w:jc w:val="right"/>
            <w:rPr>
              <w:rFonts w:ascii="Helvetica" w:hAnsi="Helvetica" w:cs="Helvetica"/>
              <w:b/>
              <w:sz w:val="16"/>
              <w:szCs w:val="16"/>
            </w:rPr>
          </w:pPr>
          <w:r w:rsidRPr="002D4237">
            <w:rPr>
              <w:rFonts w:ascii="Helvetica" w:hAnsi="Helvetica" w:cs="Helvetica"/>
              <w:b/>
              <w:noProof/>
              <w:sz w:val="28"/>
              <w:lang w:val="en-US"/>
            </w:rPr>
            <w:drawing>
              <wp:inline distT="0" distB="0" distL="0" distR="0">
                <wp:extent cx="990599" cy="676275"/>
                <wp:effectExtent l="19050" t="0" r="1" b="0"/>
                <wp:docPr id="16" name="Image 1" descr="Logo%20-Vil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%20-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839" cy="676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0231" w:rsidRPr="005D5DCA" w:rsidRDefault="005D7CEF">
    <w:pPr>
      <w:pStyle w:val="En-tte"/>
      <w:rPr>
        <w:sz w:val="16"/>
        <w:szCs w:val="16"/>
      </w:rPr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83"/>
    <w:multiLevelType w:val="hybridMultilevel"/>
    <w:tmpl w:val="6EAAF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916"/>
    <w:multiLevelType w:val="hybridMultilevel"/>
    <w:tmpl w:val="9E744B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B284E2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D9B"/>
    <w:multiLevelType w:val="hybridMultilevel"/>
    <w:tmpl w:val="E1EEFF94"/>
    <w:lvl w:ilvl="0" w:tplc="040C0003">
      <w:start w:val="1"/>
      <w:numFmt w:val="bullet"/>
      <w:lvlText w:val="o"/>
      <w:lvlJc w:val="left"/>
      <w:pPr>
        <w:ind w:left="-4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</w:abstractNum>
  <w:abstractNum w:abstractNumId="3" w15:restartNumberingAfterBreak="0">
    <w:nsid w:val="190338FE"/>
    <w:multiLevelType w:val="hybridMultilevel"/>
    <w:tmpl w:val="EE2458CA"/>
    <w:lvl w:ilvl="0" w:tplc="11B81BE2">
      <w:numFmt w:val="bullet"/>
      <w:lvlText w:val="-"/>
      <w:lvlJc w:val="left"/>
      <w:pPr>
        <w:ind w:left="720" w:hanging="360"/>
      </w:pPr>
      <w:rPr>
        <w:rFonts w:ascii="Avenir Book" w:eastAsia="Calibri" w:hAnsi="Avenir Book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2109"/>
    <w:multiLevelType w:val="hybridMultilevel"/>
    <w:tmpl w:val="0D0A7574"/>
    <w:lvl w:ilvl="0" w:tplc="8CCA844E">
      <w:numFmt w:val="bullet"/>
      <w:lvlText w:val="-"/>
      <w:lvlJc w:val="left"/>
      <w:pPr>
        <w:ind w:left="1440" w:hanging="360"/>
      </w:pPr>
      <w:rPr>
        <w:rFonts w:ascii="Helvetica" w:eastAsia="BatangChe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75869"/>
    <w:multiLevelType w:val="hybridMultilevel"/>
    <w:tmpl w:val="16BEE95A"/>
    <w:lvl w:ilvl="0" w:tplc="A2FAE4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7B1"/>
    <w:multiLevelType w:val="hybridMultilevel"/>
    <w:tmpl w:val="3F226F3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B9194E"/>
    <w:multiLevelType w:val="hybridMultilevel"/>
    <w:tmpl w:val="7870DD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E57D4"/>
    <w:multiLevelType w:val="hybridMultilevel"/>
    <w:tmpl w:val="7226B4FE"/>
    <w:lvl w:ilvl="0" w:tplc="A2FAE4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3B4"/>
    <w:multiLevelType w:val="hybridMultilevel"/>
    <w:tmpl w:val="BDA4AF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3341C5"/>
    <w:multiLevelType w:val="hybridMultilevel"/>
    <w:tmpl w:val="A52299E0"/>
    <w:lvl w:ilvl="0" w:tplc="8CCA844E">
      <w:numFmt w:val="bullet"/>
      <w:lvlText w:val="-"/>
      <w:lvlJc w:val="left"/>
      <w:pPr>
        <w:ind w:left="1440" w:hanging="360"/>
      </w:pPr>
      <w:rPr>
        <w:rFonts w:ascii="Helvetica" w:eastAsia="BatangChe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32"/>
    <w:rsid w:val="00000206"/>
    <w:rsid w:val="00006C80"/>
    <w:rsid w:val="000119FA"/>
    <w:rsid w:val="00013F57"/>
    <w:rsid w:val="0002232B"/>
    <w:rsid w:val="0002734C"/>
    <w:rsid w:val="000305F0"/>
    <w:rsid w:val="00036A15"/>
    <w:rsid w:val="000427E3"/>
    <w:rsid w:val="0005607E"/>
    <w:rsid w:val="000756F6"/>
    <w:rsid w:val="00087DB5"/>
    <w:rsid w:val="000C6CFA"/>
    <w:rsid w:val="000E48D1"/>
    <w:rsid w:val="000E5FB0"/>
    <w:rsid w:val="00103F4E"/>
    <w:rsid w:val="00142291"/>
    <w:rsid w:val="0015238F"/>
    <w:rsid w:val="00154002"/>
    <w:rsid w:val="0015489A"/>
    <w:rsid w:val="001749E1"/>
    <w:rsid w:val="001A44AE"/>
    <w:rsid w:val="001A4DEB"/>
    <w:rsid w:val="001B48F1"/>
    <w:rsid w:val="001E3FF0"/>
    <w:rsid w:val="001E723B"/>
    <w:rsid w:val="001F2A6B"/>
    <w:rsid w:val="002002D2"/>
    <w:rsid w:val="00205357"/>
    <w:rsid w:val="002676FE"/>
    <w:rsid w:val="002741A3"/>
    <w:rsid w:val="00283ABC"/>
    <w:rsid w:val="002C0F8E"/>
    <w:rsid w:val="002C0FC5"/>
    <w:rsid w:val="002C4FE6"/>
    <w:rsid w:val="002D08D8"/>
    <w:rsid w:val="002D1D2F"/>
    <w:rsid w:val="002F0107"/>
    <w:rsid w:val="0033778E"/>
    <w:rsid w:val="00340C11"/>
    <w:rsid w:val="003440AA"/>
    <w:rsid w:val="00354407"/>
    <w:rsid w:val="00371063"/>
    <w:rsid w:val="003A5493"/>
    <w:rsid w:val="003D6DCB"/>
    <w:rsid w:val="003D7A9A"/>
    <w:rsid w:val="003E3195"/>
    <w:rsid w:val="003E7BF7"/>
    <w:rsid w:val="003F7CE1"/>
    <w:rsid w:val="004069F1"/>
    <w:rsid w:val="00414A93"/>
    <w:rsid w:val="00463E98"/>
    <w:rsid w:val="00463EA1"/>
    <w:rsid w:val="0047645D"/>
    <w:rsid w:val="00480186"/>
    <w:rsid w:val="00484BF3"/>
    <w:rsid w:val="0049580C"/>
    <w:rsid w:val="004A0CB3"/>
    <w:rsid w:val="004C6CDC"/>
    <w:rsid w:val="004E121D"/>
    <w:rsid w:val="004E665E"/>
    <w:rsid w:val="00520C98"/>
    <w:rsid w:val="00535760"/>
    <w:rsid w:val="00561F38"/>
    <w:rsid w:val="005B6FFE"/>
    <w:rsid w:val="005D08C0"/>
    <w:rsid w:val="005D450E"/>
    <w:rsid w:val="005D5DCA"/>
    <w:rsid w:val="005D7CEF"/>
    <w:rsid w:val="005E551B"/>
    <w:rsid w:val="005F69C2"/>
    <w:rsid w:val="006026AD"/>
    <w:rsid w:val="0064251C"/>
    <w:rsid w:val="00661D56"/>
    <w:rsid w:val="006642F8"/>
    <w:rsid w:val="00683C82"/>
    <w:rsid w:val="0068592B"/>
    <w:rsid w:val="006C11D8"/>
    <w:rsid w:val="006C437A"/>
    <w:rsid w:val="006D5CBF"/>
    <w:rsid w:val="006E60F2"/>
    <w:rsid w:val="007510F1"/>
    <w:rsid w:val="00753014"/>
    <w:rsid w:val="00784CB4"/>
    <w:rsid w:val="007871D7"/>
    <w:rsid w:val="007C5D33"/>
    <w:rsid w:val="007D69F9"/>
    <w:rsid w:val="008012B8"/>
    <w:rsid w:val="00826358"/>
    <w:rsid w:val="00826374"/>
    <w:rsid w:val="00826F60"/>
    <w:rsid w:val="0083219B"/>
    <w:rsid w:val="008447FD"/>
    <w:rsid w:val="0086307C"/>
    <w:rsid w:val="008651B7"/>
    <w:rsid w:val="008724C2"/>
    <w:rsid w:val="00892D46"/>
    <w:rsid w:val="00895AF6"/>
    <w:rsid w:val="008A2FA5"/>
    <w:rsid w:val="008A479E"/>
    <w:rsid w:val="008A5A82"/>
    <w:rsid w:val="008C09A9"/>
    <w:rsid w:val="008C1E42"/>
    <w:rsid w:val="008C445E"/>
    <w:rsid w:val="008D7416"/>
    <w:rsid w:val="008F5ADC"/>
    <w:rsid w:val="00911316"/>
    <w:rsid w:val="00914279"/>
    <w:rsid w:val="00966CDF"/>
    <w:rsid w:val="00984432"/>
    <w:rsid w:val="009849E3"/>
    <w:rsid w:val="009A5BA9"/>
    <w:rsid w:val="009E2408"/>
    <w:rsid w:val="009F0C6E"/>
    <w:rsid w:val="009F2A19"/>
    <w:rsid w:val="00A018CE"/>
    <w:rsid w:val="00A06CCF"/>
    <w:rsid w:val="00A20743"/>
    <w:rsid w:val="00A21802"/>
    <w:rsid w:val="00A47C0D"/>
    <w:rsid w:val="00A526F2"/>
    <w:rsid w:val="00A94B58"/>
    <w:rsid w:val="00AB117C"/>
    <w:rsid w:val="00AB714E"/>
    <w:rsid w:val="00AC577E"/>
    <w:rsid w:val="00AD40AF"/>
    <w:rsid w:val="00AF24D5"/>
    <w:rsid w:val="00AF756D"/>
    <w:rsid w:val="00B0038A"/>
    <w:rsid w:val="00B05D9D"/>
    <w:rsid w:val="00B12CD5"/>
    <w:rsid w:val="00B447E6"/>
    <w:rsid w:val="00B5740C"/>
    <w:rsid w:val="00B63D2A"/>
    <w:rsid w:val="00B7697B"/>
    <w:rsid w:val="00B95A17"/>
    <w:rsid w:val="00BA3660"/>
    <w:rsid w:val="00BD0BD0"/>
    <w:rsid w:val="00BD318B"/>
    <w:rsid w:val="00BF2445"/>
    <w:rsid w:val="00C02D10"/>
    <w:rsid w:val="00C25989"/>
    <w:rsid w:val="00C33C93"/>
    <w:rsid w:val="00C3687C"/>
    <w:rsid w:val="00C53ADE"/>
    <w:rsid w:val="00C6193B"/>
    <w:rsid w:val="00C649BB"/>
    <w:rsid w:val="00C67F43"/>
    <w:rsid w:val="00C71308"/>
    <w:rsid w:val="00CA4094"/>
    <w:rsid w:val="00CC1F1D"/>
    <w:rsid w:val="00D12684"/>
    <w:rsid w:val="00D1667D"/>
    <w:rsid w:val="00D24CF4"/>
    <w:rsid w:val="00D6184E"/>
    <w:rsid w:val="00D70D24"/>
    <w:rsid w:val="00D73A70"/>
    <w:rsid w:val="00D75B91"/>
    <w:rsid w:val="00D832D5"/>
    <w:rsid w:val="00DA0231"/>
    <w:rsid w:val="00DB1489"/>
    <w:rsid w:val="00DB56C4"/>
    <w:rsid w:val="00DB6132"/>
    <w:rsid w:val="00DC48D3"/>
    <w:rsid w:val="00DD4477"/>
    <w:rsid w:val="00DE042D"/>
    <w:rsid w:val="00E571CE"/>
    <w:rsid w:val="00E664F4"/>
    <w:rsid w:val="00E73275"/>
    <w:rsid w:val="00E93116"/>
    <w:rsid w:val="00EA4945"/>
    <w:rsid w:val="00EB13C9"/>
    <w:rsid w:val="00ED7A47"/>
    <w:rsid w:val="00EE412F"/>
    <w:rsid w:val="00EF2A77"/>
    <w:rsid w:val="00F06E54"/>
    <w:rsid w:val="00F12674"/>
    <w:rsid w:val="00F23F2D"/>
    <w:rsid w:val="00F25898"/>
    <w:rsid w:val="00F32921"/>
    <w:rsid w:val="00F7517B"/>
    <w:rsid w:val="00F8597C"/>
    <w:rsid w:val="00FF25A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A8F07"/>
  <w15:docId w15:val="{7AAB9449-BDD0-49F4-ADC6-788DCB93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32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84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84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9844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984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re">
    <w:name w:val="Title"/>
    <w:basedOn w:val="Normal"/>
    <w:link w:val="TitreCar"/>
    <w:qFormat/>
    <w:rsid w:val="00984432"/>
    <w:pPr>
      <w:spacing w:after="0" w:line="240" w:lineRule="auto"/>
    </w:pPr>
    <w:rPr>
      <w:rFonts w:ascii="Arial" w:eastAsia="Times New Roman" w:hAnsi="Arial"/>
      <w:b/>
      <w:bCs/>
      <w:sz w:val="26"/>
      <w:szCs w:val="26"/>
      <w:lang w:eastAsia="fr-FR"/>
    </w:rPr>
  </w:style>
  <w:style w:type="character" w:customStyle="1" w:styleId="TitreCar">
    <w:name w:val="Titre Car"/>
    <w:basedOn w:val="Policepardfaut"/>
    <w:link w:val="Titre"/>
    <w:rsid w:val="00984432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rsid w:val="00984432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98443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84432"/>
    <w:rPr>
      <w:rFonts w:ascii="Calibri" w:eastAsia="Calibri" w:hAnsi="Calibri" w:cs="Arial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nhideWhenUsed/>
    <w:rsid w:val="0098443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84432"/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C93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357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6CDF"/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5D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DCA"/>
    <w:rPr>
      <w:rFonts w:ascii="Calibri" w:eastAsia="Calibri" w:hAnsi="Calibri"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DCA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prestations.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aprestations.ma/fr/reglement-des-march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4677-C8BD-4B8F-94FB-126AB862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Mohammed Sarhane Najah</cp:lastModifiedBy>
  <cp:revision>5</cp:revision>
  <cp:lastPrinted>2018-12-07T11:19:00Z</cp:lastPrinted>
  <dcterms:created xsi:type="dcterms:W3CDTF">2019-02-12T09:04:00Z</dcterms:created>
  <dcterms:modified xsi:type="dcterms:W3CDTF">2019-02-19T16:20:00Z</dcterms:modified>
</cp:coreProperties>
</file>